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6E1C58AA" w:rsidR="00113C5A" w:rsidRPr="00455A3C" w:rsidRDefault="00113C5A" w:rsidP="00AC35C4">
      <w:pPr>
        <w:pStyle w:val="F2-zkladn"/>
        <w:rPr>
          <w:b/>
          <w:sz w:val="28"/>
          <w:szCs w:val="28"/>
        </w:rPr>
      </w:pPr>
    </w:p>
    <w:p w14:paraId="3DFA4004" w14:textId="2E979B4F"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46FF041"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501F6AEC" w:rsidR="000A2833" w:rsidRPr="00455A3C" w:rsidRDefault="0018797C" w:rsidP="00AC35C4">
      <w:pPr>
        <w:pStyle w:val="F2-zkladn"/>
        <w:tabs>
          <w:tab w:val="right" w:pos="9070"/>
        </w:tabs>
      </w:pPr>
      <w:r>
        <w:rPr>
          <w:noProof/>
        </w:rPr>
        <mc:AlternateContent>
          <mc:Choice Requires="wps">
            <w:drawing>
              <wp:inline distT="0" distB="0" distL="0" distR="0" wp14:anchorId="69E119FC" wp14:editId="0CDB8B15">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01D3202"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957676">
        <w:t>3</w:t>
      </w:r>
      <w:r w:rsidR="00A30105" w:rsidRPr="00455A3C">
        <w:t xml:space="preserve">. </w:t>
      </w:r>
      <w:r w:rsidR="00957676">
        <w:t>května</w:t>
      </w:r>
      <w:r w:rsidR="00A30105" w:rsidRPr="00455A3C">
        <w:t xml:space="preserve"> 20</w:t>
      </w:r>
      <w:r w:rsidR="00A7414F" w:rsidRPr="00455A3C">
        <w:t>2</w:t>
      </w:r>
      <w:r w:rsidR="00534D3B">
        <w:t>2</w:t>
      </w:r>
    </w:p>
    <w:p w14:paraId="06416E19" w14:textId="59D0B979" w:rsidR="000C727D" w:rsidRDefault="000C727D" w:rsidP="00303102">
      <w:pPr>
        <w:spacing w:after="120"/>
        <w:rPr>
          <w:b/>
          <w:sz w:val="28"/>
          <w:szCs w:val="28"/>
        </w:rPr>
      </w:pPr>
    </w:p>
    <w:p w14:paraId="563CBE10" w14:textId="7608F908" w:rsidR="00303102" w:rsidRPr="00303102" w:rsidRDefault="00B07BDD" w:rsidP="00611687">
      <w:pPr>
        <w:spacing w:after="120"/>
        <w:rPr>
          <w:b/>
          <w:sz w:val="28"/>
          <w:szCs w:val="28"/>
        </w:rPr>
      </w:pPr>
      <w:r w:rsidRPr="00FC3BFD">
        <w:rPr>
          <w:b/>
          <w:sz w:val="28"/>
          <w:szCs w:val="28"/>
          <w:lang w:val="en-GB"/>
        </w:rPr>
        <w:t>Fidelity Internati</w:t>
      </w:r>
      <w:r w:rsidR="00FC3BFD">
        <w:rPr>
          <w:b/>
          <w:sz w:val="28"/>
          <w:szCs w:val="28"/>
          <w:lang w:val="en-GB"/>
        </w:rPr>
        <w:t>o</w:t>
      </w:r>
      <w:r w:rsidRPr="00FC3BFD">
        <w:rPr>
          <w:b/>
          <w:sz w:val="28"/>
          <w:szCs w:val="28"/>
          <w:lang w:val="en-GB"/>
        </w:rPr>
        <w:t>nal:</w:t>
      </w:r>
      <w:r>
        <w:rPr>
          <w:b/>
          <w:sz w:val="28"/>
          <w:szCs w:val="28"/>
        </w:rPr>
        <w:t xml:space="preserve"> </w:t>
      </w:r>
      <w:r w:rsidR="00957676">
        <w:rPr>
          <w:b/>
          <w:sz w:val="28"/>
          <w:szCs w:val="28"/>
        </w:rPr>
        <w:t>Investiční výhled pro nejbližší období</w:t>
      </w:r>
      <w:r w:rsidR="004125BB">
        <w:rPr>
          <w:b/>
          <w:sz w:val="28"/>
          <w:szCs w:val="28"/>
        </w:rPr>
        <w:t xml:space="preserve"> –</w:t>
      </w:r>
      <w:r w:rsidR="00957676">
        <w:rPr>
          <w:b/>
          <w:sz w:val="28"/>
          <w:szCs w:val="28"/>
        </w:rPr>
        <w:t>Šachová rošáda, rizika stagflace se zvyšují</w:t>
      </w:r>
    </w:p>
    <w:p w14:paraId="5704B311" w14:textId="27E854BC" w:rsidR="00957676" w:rsidRPr="00957676" w:rsidRDefault="00957676" w:rsidP="00957676">
      <w:pPr>
        <w:spacing w:before="100" w:beforeAutospacing="1" w:after="100" w:afterAutospacing="1" w:line="240" w:lineRule="auto"/>
        <w:rPr>
          <w:rFonts w:asciiTheme="minorHAnsi" w:eastAsiaTheme="minorHAnsi" w:hAnsiTheme="minorHAnsi" w:cstheme="minorBidi"/>
          <w:b/>
          <w:sz w:val="24"/>
          <w:szCs w:val="24"/>
          <w:lang w:eastAsia="en-US"/>
        </w:rPr>
      </w:pPr>
      <w:r w:rsidRPr="00957676">
        <w:rPr>
          <w:rFonts w:asciiTheme="minorHAnsi" w:eastAsiaTheme="minorHAnsi" w:hAnsiTheme="minorHAnsi" w:cstheme="minorBidi"/>
          <w:b/>
          <w:sz w:val="24"/>
          <w:szCs w:val="24"/>
          <w:lang w:eastAsia="en-US"/>
        </w:rPr>
        <w:t>Rusko-ukrajinská válka dramaticky změní světový řád (partii na světové šachovnici), a to jak z ekonomického, tak z geopolitického hlediska. V nejbližší době se prohloubí globální inflační tlaky, což je způsobené obchodními a finančními šoky v důsledku konfliktu a související</w:t>
      </w:r>
      <w:r w:rsidR="005E27A3">
        <w:rPr>
          <w:rFonts w:asciiTheme="minorHAnsi" w:eastAsiaTheme="minorHAnsi" w:hAnsiTheme="minorHAnsi" w:cstheme="minorBidi"/>
          <w:b/>
          <w:sz w:val="24"/>
          <w:szCs w:val="24"/>
          <w:lang w:eastAsia="en-US"/>
        </w:rPr>
        <w:t>mi sankcemi</w:t>
      </w:r>
      <w:r w:rsidRPr="00957676">
        <w:rPr>
          <w:rFonts w:asciiTheme="minorHAnsi" w:eastAsiaTheme="minorHAnsi" w:hAnsiTheme="minorHAnsi" w:cstheme="minorBidi"/>
          <w:b/>
          <w:sz w:val="24"/>
          <w:szCs w:val="24"/>
          <w:lang w:eastAsia="en-US"/>
        </w:rPr>
        <w:t xml:space="preserve">. </w:t>
      </w:r>
    </w:p>
    <w:p w14:paraId="4E5676C1" w14:textId="414CDD7D" w:rsidR="00957676" w:rsidRDefault="00957676" w:rsidP="00957676">
      <w:pPr>
        <w:rPr>
          <w:rFonts w:eastAsiaTheme="minorHAnsi"/>
          <w:lang w:eastAsia="en-US"/>
        </w:rPr>
      </w:pPr>
      <w:r w:rsidRPr="00957676">
        <w:rPr>
          <w:rFonts w:eastAsiaTheme="minorHAnsi"/>
          <w:lang w:eastAsia="en-US"/>
        </w:rPr>
        <w:t xml:space="preserve">Současný zásah do růstu a celkové důvěry bude pravděpodobně významný, ale jeho rozsah a trvání jsou nejisté. Nejvíce ohroženým regionem je Evropa, kde je velmi pravděpodobná přinejmenším mírná recese. Spojené státy jsou sice prozatím relativně izolovány, ale ani ony nejsou imunní, zejména vůči inflačním dopadům války. </w:t>
      </w:r>
    </w:p>
    <w:p w14:paraId="787E89EB" w14:textId="77777777" w:rsidR="00957676" w:rsidRPr="004E6181" w:rsidRDefault="00957676" w:rsidP="00957676">
      <w:r w:rsidRPr="004E6181">
        <w:t xml:space="preserve">Vzájemná závislost v oblasti energií a zdrojů se již mění a bude znamenat jistě několikaleté globální přizpůsobování, které bude mít dopady na řadu tříd aktiv. </w:t>
      </w:r>
    </w:p>
    <w:p w14:paraId="7A59F8DA" w14:textId="49603737" w:rsidR="00957676" w:rsidRPr="00957676" w:rsidRDefault="00957676" w:rsidP="00957676">
      <w:r w:rsidRPr="004E6181">
        <w:t>Očekáváme, že i v květnu a červnu budou dominovat tři témata.</w:t>
      </w:r>
    </w:p>
    <w:p w14:paraId="2C8F2E37" w14:textId="4D34A84E" w:rsidR="000C17C8" w:rsidRPr="000C17C8" w:rsidRDefault="00957676" w:rsidP="00957676">
      <w:pPr>
        <w:pStyle w:val="Normlnweb"/>
        <w:numPr>
          <w:ilvl w:val="0"/>
          <w:numId w:val="49"/>
        </w:numPr>
        <w:shd w:val="clear" w:color="auto" w:fill="FEFEFE"/>
        <w:rPr>
          <w:rFonts w:eastAsiaTheme="minorHAnsi"/>
          <w:b/>
          <w:lang w:eastAsia="en-US"/>
        </w:rPr>
      </w:pPr>
      <w:r>
        <w:rPr>
          <w:rFonts w:eastAsiaTheme="minorHAnsi"/>
          <w:b/>
          <w:lang w:eastAsia="en-US"/>
        </w:rPr>
        <w:t>Časová osa války na Ukrajině ovlivní hospodářské výsledky</w:t>
      </w:r>
    </w:p>
    <w:p w14:paraId="0CFD1815" w14:textId="2BFC1312" w:rsidR="00957676" w:rsidRDefault="00957676" w:rsidP="00957676">
      <w:r w:rsidRPr="004E6181">
        <w:t xml:space="preserve">Válka na Ukrajině již způsobila značné hospodářské škody a bude i nadále ovlivňovat krátkodobý výhled světových ekonomik, zejména evropských. Výsledky v nadcházejícím čtvrtletí budou do značné míry ovlivněny časovým harmonogramem řešení a zmírněním narušení obchodu. </w:t>
      </w:r>
    </w:p>
    <w:p w14:paraId="65C43311" w14:textId="742BC5CF" w:rsidR="00957676" w:rsidRPr="004E6181" w:rsidRDefault="00957676" w:rsidP="00957676">
      <w:r w:rsidRPr="004E6181">
        <w:t>Mezitím byly zmařeny veškeré naděje na pokles cen energií a dodavatelsk</w:t>
      </w:r>
      <w:r w:rsidR="005E27A3">
        <w:t>é</w:t>
      </w:r>
      <w:r w:rsidRPr="004E6181">
        <w:t xml:space="preserve"> řetězc</w:t>
      </w:r>
      <w:r w:rsidR="005E27A3">
        <w:t>e byly narušeny</w:t>
      </w:r>
      <w:r w:rsidRPr="004E6181">
        <w:t>. Tyto faktory budou společně nadále tlumit růst a vytvářet tlak na stoupání již tak vysoké inflace.</w:t>
      </w:r>
    </w:p>
    <w:p w14:paraId="007474BB" w14:textId="64AB4FCF" w:rsidR="00957676" w:rsidRPr="00957676" w:rsidRDefault="00957676" w:rsidP="00957676">
      <w:r w:rsidRPr="004E6181">
        <w:t xml:space="preserve">Pro politiky i pro trhy to vykresluje velmi složitý obrázek. </w:t>
      </w:r>
      <w:r w:rsidR="005E27A3">
        <w:t>FI se d</w:t>
      </w:r>
      <w:r w:rsidRPr="004E6181">
        <w:t xml:space="preserve">omnívá, že trh ještě neodráží celou škálu možných výsledků, které zahrnují extrémní rizika na levém i pravém konci. </w:t>
      </w:r>
      <w:r w:rsidR="005E27A3">
        <w:t>Zastávají</w:t>
      </w:r>
      <w:r w:rsidR="00230A3C">
        <w:t xml:space="preserve"> </w:t>
      </w:r>
      <w:r w:rsidRPr="004E6181">
        <w:t>pružnost a využívání zajištění</w:t>
      </w:r>
      <w:r w:rsidR="005E27A3">
        <w:t xml:space="preserve"> tam</w:t>
      </w:r>
      <w:r w:rsidRPr="004E6181">
        <w:t>, kde je to vhodné.</w:t>
      </w:r>
    </w:p>
    <w:p w14:paraId="48B0D6AA" w14:textId="4CFD3D12" w:rsidR="000C17C8" w:rsidRPr="000C17C8" w:rsidRDefault="00957676" w:rsidP="00957676">
      <w:pPr>
        <w:pStyle w:val="Normlnweb"/>
        <w:numPr>
          <w:ilvl w:val="0"/>
          <w:numId w:val="49"/>
        </w:numPr>
        <w:shd w:val="clear" w:color="auto" w:fill="FEFEFE"/>
        <w:rPr>
          <w:rFonts w:eastAsiaTheme="minorHAnsi"/>
          <w:b/>
          <w:lang w:eastAsia="en-US"/>
        </w:rPr>
      </w:pPr>
      <w:r>
        <w:rPr>
          <w:rFonts w:eastAsiaTheme="minorHAnsi"/>
          <w:b/>
          <w:lang w:eastAsia="en-US"/>
        </w:rPr>
        <w:t xml:space="preserve">Návrat </w:t>
      </w:r>
      <w:r w:rsidR="005E27A3">
        <w:rPr>
          <w:rFonts w:eastAsiaTheme="minorHAnsi"/>
          <w:b/>
          <w:lang w:eastAsia="en-US"/>
        </w:rPr>
        <w:t>„</w:t>
      </w:r>
      <w:proofErr w:type="spellStart"/>
      <w:r w:rsidR="005E27A3">
        <w:rPr>
          <w:rFonts w:eastAsiaTheme="minorHAnsi"/>
          <w:b/>
          <w:lang w:eastAsia="en-US"/>
        </w:rPr>
        <w:t>V</w:t>
      </w:r>
      <w:r>
        <w:rPr>
          <w:rFonts w:eastAsiaTheme="minorHAnsi"/>
          <w:b/>
          <w:lang w:eastAsia="en-US"/>
        </w:rPr>
        <w:t>olckerismu</w:t>
      </w:r>
      <w:proofErr w:type="spellEnd"/>
      <w:r w:rsidR="005E27A3">
        <w:rPr>
          <w:rFonts w:eastAsiaTheme="minorHAnsi"/>
          <w:b/>
          <w:lang w:eastAsia="en-US"/>
        </w:rPr>
        <w:t>“</w:t>
      </w:r>
    </w:p>
    <w:p w14:paraId="7A1BD598" w14:textId="022FFCC8" w:rsidR="00371045" w:rsidRPr="004E6181" w:rsidRDefault="00371045" w:rsidP="00371045">
      <w:r w:rsidRPr="004E6181">
        <w:t xml:space="preserve">Druhým hlavním tématem pro trhy v nadcházejících měsících, ale i roce, je výzva, které čelí centrální banky při hlídání inflace, a to vzhledem k novým geopolitickým a ekonomickým podmínkám. Tři hlavní centrální banky se rozhodně přiklonily k jestřábímu přístupu. Ve Spojených státech se Federální rezervní systém odvolává na postoj bývalého předsedy </w:t>
      </w:r>
      <w:proofErr w:type="spellStart"/>
      <w:r w:rsidRPr="004E6181">
        <w:t>Volckera</w:t>
      </w:r>
      <w:proofErr w:type="spellEnd"/>
      <w:r w:rsidRPr="004E6181">
        <w:t xml:space="preserve">, který zkrotil inflaci v 80. letech, když na březnovém zasedání FOMC inicioval změnu. I když očekáváme, že Fed bude zpočátku zvyšovat </w:t>
      </w:r>
      <w:r w:rsidRPr="004E6181">
        <w:lastRenderedPageBreak/>
        <w:t>sazby a ECB bude pokračovat ve svém jestřábím tónu, domníváme se, že růstový šok vyvolaný válkou a potřeba udržet záporné reálné sazby povedou do poloviny roku k holubičímu obratu.</w:t>
      </w:r>
    </w:p>
    <w:p w14:paraId="77F01D4E" w14:textId="01EA6316" w:rsidR="00371045" w:rsidRPr="004E6181" w:rsidRDefault="00371045" w:rsidP="00371045">
      <w:r w:rsidRPr="004E6181">
        <w:t xml:space="preserve">To vše by mohlo pro riziková aktiva na rozvinutých trzích znamenat náročné druhé čtvrtletí. Pravděpodobnost </w:t>
      </w:r>
      <w:proofErr w:type="spellStart"/>
      <w:r w:rsidRPr="004E6181">
        <w:t>stagflaceje</w:t>
      </w:r>
      <w:proofErr w:type="spellEnd"/>
      <w:r w:rsidRPr="004E6181">
        <w:t xml:space="preserve"> vysoká, přičemž základním scénářem je recese v Evropě. V této fázi je rozhodující opatrné zapojení rizikových aktiv.</w:t>
      </w:r>
    </w:p>
    <w:p w14:paraId="6E0E3C12" w14:textId="26D1B754" w:rsidR="000C17C8" w:rsidRPr="00371045" w:rsidRDefault="00371045" w:rsidP="00371045">
      <w:pPr>
        <w:pStyle w:val="Odstavecseseznamem"/>
        <w:numPr>
          <w:ilvl w:val="0"/>
          <w:numId w:val="49"/>
        </w:numPr>
        <w:rPr>
          <w:rFonts w:eastAsiaTheme="minorHAnsi"/>
          <w:b/>
        </w:rPr>
      </w:pPr>
      <w:r>
        <w:rPr>
          <w:rFonts w:eastAsiaTheme="minorHAnsi"/>
          <w:b/>
        </w:rPr>
        <w:t>Podmínky podporují lepší výkonnost Číny, ovšem nejsme v roce 2008</w:t>
      </w:r>
    </w:p>
    <w:p w14:paraId="0D2CC83D" w14:textId="77777777" w:rsidR="00371045" w:rsidRPr="004E6181" w:rsidRDefault="00371045" w:rsidP="00371045">
      <w:r w:rsidRPr="004E6181">
        <w:t xml:space="preserve">Čína by mohla sloužit jako užitečný </w:t>
      </w:r>
      <w:proofErr w:type="spellStart"/>
      <w:r w:rsidRPr="004E6181">
        <w:t>diverzifikátor</w:t>
      </w:r>
      <w:proofErr w:type="spellEnd"/>
      <w:r w:rsidRPr="004E6181">
        <w:t>. Tento region je geograficky i ekonomicky vzdálen od konfliktu, těží z možností dalšího měnového a fiskálního uvolňování a nabízí atraktivnější výchozí ocenění.</w:t>
      </w:r>
    </w:p>
    <w:p w14:paraId="3BA79032" w14:textId="77777777" w:rsidR="00371045" w:rsidRPr="004E6181" w:rsidRDefault="00371045" w:rsidP="00371045">
      <w:r w:rsidRPr="004E6181">
        <w:t xml:space="preserve">Nejistota přitom zůstává vysoká. Cíle čínské politiky jsou zaměřeny na snižování zadluženosti, reformu sektoru nemovitostí a udržitelný růst. V tomto ohledu se její výhled nyní jeví méně jednoznačný než během globální finanční krize v roce 2008. </w:t>
      </w:r>
      <w:proofErr w:type="spellStart"/>
      <w:r w:rsidRPr="004E6181">
        <w:t>Fidelity</w:t>
      </w:r>
      <w:proofErr w:type="spellEnd"/>
      <w:r w:rsidRPr="004E6181">
        <w:t xml:space="preserve"> International neočekává, že by Čína zopakovala svou dřívější roli "fiskálního patu", díky které se světová ekonomiku vymaní ze stagflační trajektorie.</w:t>
      </w:r>
    </w:p>
    <w:p w14:paraId="080F82C2" w14:textId="6A0126DB" w:rsidR="001B19BC" w:rsidRPr="000C17C8" w:rsidRDefault="00371045" w:rsidP="001B19BC">
      <w:pPr>
        <w:pStyle w:val="Normlnweb"/>
        <w:shd w:val="clear" w:color="auto" w:fill="FEFEFE"/>
        <w:rPr>
          <w:rFonts w:eastAsiaTheme="minorHAnsi"/>
          <w:b/>
          <w:lang w:eastAsia="en-US"/>
        </w:rPr>
      </w:pPr>
      <w:r>
        <w:rPr>
          <w:rFonts w:eastAsiaTheme="minorHAnsi"/>
          <w:b/>
          <w:lang w:eastAsia="en-US"/>
        </w:rPr>
        <w:t>Klíčová témata a jejich investiční dopady podle tříd aktiv</w:t>
      </w:r>
    </w:p>
    <w:p w14:paraId="581BE09E" w14:textId="35BBF236" w:rsidR="00F0467A" w:rsidRPr="00AB297D" w:rsidRDefault="00371045" w:rsidP="00AB297D">
      <w:pPr>
        <w:spacing w:after="210" w:line="240" w:lineRule="auto"/>
        <w:rPr>
          <w:rFonts w:eastAsiaTheme="minorHAnsi"/>
        </w:rPr>
      </w:pPr>
      <w:proofErr w:type="spellStart"/>
      <w:r>
        <w:rPr>
          <w:rFonts w:eastAsiaTheme="minorHAnsi"/>
          <w:b/>
        </w:rPr>
        <w:t>Multi</w:t>
      </w:r>
      <w:proofErr w:type="spellEnd"/>
      <w:r>
        <w:rPr>
          <w:rFonts w:eastAsiaTheme="minorHAnsi"/>
          <w:b/>
        </w:rPr>
        <w:t xml:space="preserve"> </w:t>
      </w:r>
      <w:proofErr w:type="spellStart"/>
      <w:r>
        <w:rPr>
          <w:rFonts w:eastAsiaTheme="minorHAnsi"/>
          <w:b/>
        </w:rPr>
        <w:t>Asset</w:t>
      </w:r>
      <w:proofErr w:type="spellEnd"/>
    </w:p>
    <w:p w14:paraId="3ADD0E0A" w14:textId="267F1560" w:rsidR="00AB297D" w:rsidRPr="00AB297D" w:rsidRDefault="00371045" w:rsidP="00BF2883">
      <w:r w:rsidRPr="004E6181">
        <w:t xml:space="preserve">Vzhledem ke krátkodobé nejistotě ohledně globálního růstu má FI nyní </w:t>
      </w:r>
      <w:proofErr w:type="spellStart"/>
      <w:r w:rsidRPr="004E6181">
        <w:t>podváženou</w:t>
      </w:r>
      <w:proofErr w:type="spellEnd"/>
      <w:r w:rsidRPr="004E6181">
        <w:t xml:space="preserve"> pozici jak v úvěrech, tak v akciích. </w:t>
      </w:r>
      <w:r w:rsidRPr="00BF2883">
        <w:rPr>
          <w:i/>
          <w:iCs/>
        </w:rPr>
        <w:t>„Vzhledem k pravděpodobnosti recese v Evropě jsme obzvláště opatrní u evropských akcií a eura. Vzhledem k diverzifikačnímu potenciálu a možné podpoře vývozců komodit máme pozitivnější výhled na akcie rozvíjejících se trhů, včetně Číny, a na akcie asijsko-pacifických zemí s výjimkou Japonska, stejně jako i na vybrané měnové trhy. A konečně u USD očekáváme, že úrokový diferenciál podpoří dolar, protože Fed se nadále soustředí na inflaci, a jeho defenzivní charakteristiky poskytují v případě zhoršení podmínek jeho ochranu,“</w:t>
      </w:r>
      <w:r w:rsidRPr="004E6181">
        <w:t xml:space="preserve"> říká </w:t>
      </w:r>
      <w:r w:rsidR="00BF2883" w:rsidRPr="00BF2883">
        <w:t xml:space="preserve">Andrew </w:t>
      </w:r>
      <w:r w:rsidR="00BF2883" w:rsidRPr="00BF2883">
        <w:rPr>
          <w:lang w:val="en-GB"/>
        </w:rPr>
        <w:t xml:space="preserve">McCaffery, </w:t>
      </w:r>
      <w:r w:rsidR="00BF2883" w:rsidRPr="00BF2883">
        <w:t xml:space="preserve">globální investiční ředitel pro správu aktiv ve společnosti </w:t>
      </w:r>
      <w:proofErr w:type="spellStart"/>
      <w:r w:rsidR="00BF2883" w:rsidRPr="00BF2883">
        <w:t>Fidelity</w:t>
      </w:r>
      <w:proofErr w:type="spellEnd"/>
      <w:r w:rsidR="00BF2883" w:rsidRPr="00BF2883">
        <w:t xml:space="preserve"> International.</w:t>
      </w:r>
    </w:p>
    <w:p w14:paraId="60EDF4C1" w14:textId="4BF718B2" w:rsidR="00B1645D" w:rsidRDefault="00BF2883" w:rsidP="00B1645D">
      <w:pPr>
        <w:pStyle w:val="F2-zkladn"/>
      </w:pPr>
      <w:r>
        <w:rPr>
          <w:rFonts w:eastAsiaTheme="minorHAnsi"/>
          <w:b/>
          <w:lang w:eastAsia="en-US"/>
        </w:rPr>
        <w:t>Akcie</w:t>
      </w:r>
    </w:p>
    <w:p w14:paraId="02351635" w14:textId="77777777" w:rsidR="00BF2883" w:rsidRPr="004E6181" w:rsidRDefault="00BF2883" w:rsidP="00BF2883">
      <w:r w:rsidRPr="004E6181">
        <w:t>Vzhledem k rostoucím geopolitickým a stagflačním rizikům je nejlepší zaměřit se na vysoce kvalitní společnosti spíše než výběr odvětví. Společnosti s cenovou silou a schopností chránit marže by v tomto prostředí měly dosahovat relativně dobrých výsledků. Akcie by měly být nyní stále solidním zdrojem příjmů, když se rozvahy po nejhorší pandemii napravily.</w:t>
      </w:r>
    </w:p>
    <w:p w14:paraId="1A71B9FE" w14:textId="0ACE70F0" w:rsidR="00BB07FC" w:rsidRPr="004E6181" w:rsidRDefault="00BB07FC" w:rsidP="00BB07FC">
      <w:r w:rsidRPr="00BB07FC">
        <w:rPr>
          <w:i/>
          <w:iCs/>
        </w:rPr>
        <w:t>„Vzhledem k riziku recese v Evropě jsme opatrní, ale vidíme potenciál diverzifikace na některých rozvíjejících se trzích, zejména v oblastech, které těží z nárůstu cen komodit. Některé části Číny vypadají levně, ačkoli volatilita je velmi vysoká a okrajová rizika stále rostou,“</w:t>
      </w:r>
      <w:r w:rsidRPr="004E6181">
        <w:t xml:space="preserve"> vysvětluje </w:t>
      </w:r>
      <w:r w:rsidRPr="00BF2883">
        <w:t xml:space="preserve">Andrew </w:t>
      </w:r>
      <w:r w:rsidRPr="00BF2883">
        <w:rPr>
          <w:lang w:val="en-GB"/>
        </w:rPr>
        <w:t>McCaffery</w:t>
      </w:r>
      <w:r>
        <w:rPr>
          <w:lang w:val="en-GB"/>
        </w:rPr>
        <w:t>.</w:t>
      </w:r>
    </w:p>
    <w:p w14:paraId="5EA49241" w14:textId="60BD9C4D" w:rsidR="00C37286" w:rsidRDefault="00BB07FC" w:rsidP="00C37286">
      <w:pPr>
        <w:rPr>
          <w:rFonts w:eastAsiaTheme="minorHAnsi"/>
          <w:b/>
        </w:rPr>
      </w:pPr>
      <w:r>
        <w:rPr>
          <w:rFonts w:eastAsiaTheme="minorHAnsi"/>
          <w:b/>
        </w:rPr>
        <w:t>Pevný výnos</w:t>
      </w:r>
    </w:p>
    <w:p w14:paraId="6B32607E" w14:textId="6E743D53" w:rsidR="00AB297D" w:rsidRPr="00BB07FC" w:rsidRDefault="00BB07FC" w:rsidP="00FD1226">
      <w:r w:rsidRPr="004E6181">
        <w:t>Stagflace představuje výzvu, ale v rámci pevného výnosu existují oblasti, které zřejmě budou lépe chráněny před rostoucími sazbami a zpomalujícím se růstem. Relativně dobře by se mělo nadále dařit cenným papírům typu „</w:t>
      </w:r>
      <w:proofErr w:type="spellStart"/>
      <w:r w:rsidRPr="004E6181">
        <w:t>Breakevens</w:t>
      </w:r>
      <w:proofErr w:type="spellEnd"/>
      <w:r w:rsidRPr="004E6181">
        <w:t xml:space="preserve">“ za předpokladu, že inflační očekávání porostou, podobná situace </w:t>
      </w:r>
      <w:r w:rsidRPr="004E6181">
        <w:lastRenderedPageBreak/>
        <w:t xml:space="preserve">je v případě nástrojů investičního stupně v eurech (IG) vzhledem k jejich defenzivnějším charakteristikám a lepšímu ocenění. </w:t>
      </w:r>
    </w:p>
    <w:p w14:paraId="5D2D7049" w14:textId="635CF978" w:rsidR="00FD1226" w:rsidRDefault="00BB07FC" w:rsidP="00FD1226">
      <w:pPr>
        <w:rPr>
          <w:rFonts w:eastAsiaTheme="minorHAnsi"/>
          <w:b/>
        </w:rPr>
      </w:pPr>
      <w:r>
        <w:rPr>
          <w:rFonts w:eastAsiaTheme="minorHAnsi"/>
          <w:b/>
        </w:rPr>
        <w:t>Soukromé trhy</w:t>
      </w:r>
    </w:p>
    <w:p w14:paraId="7A4CF8C4" w14:textId="77777777" w:rsidR="00BB07FC" w:rsidRPr="004E6181" w:rsidRDefault="00BB07FC" w:rsidP="00BB07FC">
      <w:r w:rsidRPr="004E6181">
        <w:t>Přímý dopad války na portfolia FI se zatím ukázal jako omezený, protože díky odolnosti trhů nedošlo k dramatickým cenovým pohybům. Nicméně rozsáhlé a často nepřímé narušení dodavatelského řetězce v důsledku války tak vytváří období pro pečlivé aktivní investování a výběr úvěrů.</w:t>
      </w:r>
    </w:p>
    <w:p w14:paraId="35F568E4" w14:textId="77777777" w:rsidR="00BB07FC" w:rsidRPr="004E6181" w:rsidRDefault="00BB07FC" w:rsidP="00BB07FC">
      <w:r w:rsidRPr="004E6181">
        <w:t>Soukromý úvěr může být efektivním zajištěním proti inflaci díky kupónům s pohyblivou sazbou. Nabízí také vysokou úroveň příjmu s nízkou volatilitou.</w:t>
      </w:r>
    </w:p>
    <w:p w14:paraId="5612D584" w14:textId="77777777" w:rsidR="00BB07FC" w:rsidRPr="004E6181" w:rsidRDefault="00BB07FC" w:rsidP="00BB07FC">
      <w:r w:rsidRPr="004E6181">
        <w:t>Nyní se FI zaměřuje na společnosti, které dokážou odolat dalšímu tlaku na marži a na cashflow.</w:t>
      </w:r>
    </w:p>
    <w:p w14:paraId="7B9CD950" w14:textId="19829041" w:rsidR="00BB07FC" w:rsidRDefault="00BB07FC" w:rsidP="00BB07FC">
      <w:pPr>
        <w:rPr>
          <w:rFonts w:eastAsiaTheme="minorHAnsi"/>
          <w:b/>
        </w:rPr>
      </w:pPr>
      <w:r>
        <w:rPr>
          <w:rFonts w:eastAsiaTheme="minorHAnsi"/>
          <w:b/>
        </w:rPr>
        <w:t>Nemovitosti</w:t>
      </w:r>
    </w:p>
    <w:p w14:paraId="25236642" w14:textId="5BD6A9F0" w:rsidR="00BB07FC" w:rsidRPr="004E6181" w:rsidRDefault="00BB07FC" w:rsidP="00BB07FC">
      <w:r w:rsidRPr="004E6181">
        <w:t xml:space="preserve">Hlavním rizikem pro nemovitosti je nyní pomalejší hospodářský růst. </w:t>
      </w:r>
      <w:r w:rsidRPr="00BB07FC">
        <w:rPr>
          <w:i/>
          <w:iCs/>
        </w:rPr>
        <w:t>„Trhy reagují na krizi pomalu, a proto jsme opatrní. Sledujeme, zda se nezvyšuje riziko u našich stávajících nájemců, a pečlivě zkoumáme všechny nové nájemce,“</w:t>
      </w:r>
      <w:r w:rsidRPr="004E6181">
        <w:t xml:space="preserve"> hodnotí situaci </w:t>
      </w:r>
      <w:r w:rsidRPr="00BF2883">
        <w:t xml:space="preserve">Andrew </w:t>
      </w:r>
      <w:r w:rsidRPr="00BF2883">
        <w:rPr>
          <w:lang w:val="en-GB"/>
        </w:rPr>
        <w:t>McCaffery</w:t>
      </w:r>
      <w:r>
        <w:rPr>
          <w:lang w:val="en-GB"/>
        </w:rPr>
        <w:t>.</w:t>
      </w:r>
    </w:p>
    <w:p w14:paraId="2C94BF52" w14:textId="77777777" w:rsidR="00BB07FC" w:rsidRPr="004E6181" w:rsidRDefault="00BB07FC" w:rsidP="00BB07FC">
      <w:r w:rsidRPr="004E6181">
        <w:t>Obavy vzbuzuje i stagflace. Nemovitostem se obvykle daří dobře v krátkých obdobích inflace, ale méně už v delších obdobích stagflace. FI se soustředí na dlouhodobé pronájmy v oblasti zdravotnictví, rezidenčních budov a datových center, protože pronájmy vázané na inflaci nabízejí určitou formu ochrany proti inflaci.</w:t>
      </w:r>
    </w:p>
    <w:p w14:paraId="1D8790C9" w14:textId="1486A539" w:rsidR="00BB07FC" w:rsidRDefault="00BB07FC" w:rsidP="00BB07FC">
      <w:pPr>
        <w:rPr>
          <w:rFonts w:eastAsiaTheme="minorHAnsi"/>
          <w:b/>
        </w:rPr>
      </w:pPr>
      <w:r>
        <w:rPr>
          <w:rFonts w:eastAsiaTheme="minorHAnsi"/>
          <w:b/>
        </w:rPr>
        <w:t xml:space="preserve">Závěr </w:t>
      </w:r>
    </w:p>
    <w:p w14:paraId="53E4BE18" w14:textId="5750BBB3" w:rsidR="005E27A3" w:rsidRDefault="00BB07FC" w:rsidP="00E736B3">
      <w:r w:rsidRPr="004E6181">
        <w:t>Rizika stagflace se zvýšila, neboť válka na Ukrajině narušila trajektorii globálního růstu, zejména v Evropě. Konflikt také zesílil inflační tlaky, což vytváří větší výzvy. „</w:t>
      </w:r>
      <w:r w:rsidRPr="00E736B3">
        <w:rPr>
          <w:i/>
        </w:rPr>
        <w:t>Od začátku roku 2022 snižujeme riziko a zaměřujeme se na regiony, sektory a třídy aktiv, které poskytují ochranu a výnos ve vysoce nejistém prostředí zpomalujícího se růstu a rostoucí inflace,</w:t>
      </w:r>
      <w:r w:rsidRPr="004E6181">
        <w:t xml:space="preserve">“ uzavírá </w:t>
      </w:r>
      <w:r w:rsidRPr="00BF2883">
        <w:t xml:space="preserve">Andrew </w:t>
      </w:r>
      <w:r w:rsidRPr="00BF2883">
        <w:rPr>
          <w:lang w:val="en-GB"/>
        </w:rPr>
        <w:t>McCaffery</w:t>
      </w:r>
      <w:r w:rsidRPr="004E6181">
        <w:t>.</w:t>
      </w:r>
    </w:p>
    <w:p w14:paraId="08C26EA3" w14:textId="77777777" w:rsidR="00E736B3" w:rsidRPr="00E736B3" w:rsidRDefault="00E736B3" w:rsidP="00E736B3">
      <w:pPr>
        <w:pStyle w:val="F2-zkladn"/>
      </w:pPr>
    </w:p>
    <w:p w14:paraId="277BA5CD" w14:textId="076E48E0" w:rsidR="00725052" w:rsidRPr="00BC4EF0" w:rsidRDefault="00725052" w:rsidP="00725052">
      <w:pPr>
        <w:spacing w:line="240" w:lineRule="auto"/>
      </w:pPr>
      <w:r w:rsidRPr="00455A3C">
        <w:rPr>
          <w:b/>
        </w:rPr>
        <w:t>Pro více informací kontaktujte:</w:t>
      </w:r>
    </w:p>
    <w:p w14:paraId="4D946650" w14:textId="36D8EA6D" w:rsidR="00725052" w:rsidRPr="00455A3C" w:rsidRDefault="00725052" w:rsidP="00725052">
      <w:pPr>
        <w:spacing w:before="0" w:line="360" w:lineRule="auto"/>
        <w:rPr>
          <w:b/>
        </w:rPr>
      </w:pPr>
    </w:p>
    <w:p w14:paraId="5125F7C8" w14:textId="1F527A03" w:rsidR="00725052" w:rsidRDefault="00725052" w:rsidP="00725052">
      <w:pPr>
        <w:spacing w:before="0" w:line="240" w:lineRule="atLeast"/>
        <w:rPr>
          <w:b/>
        </w:rPr>
      </w:pPr>
      <w:r>
        <w:rPr>
          <w:b/>
        </w:rPr>
        <w:t>Eliška Krohová</w:t>
      </w:r>
    </w:p>
    <w:p w14:paraId="389FA300" w14:textId="77777777" w:rsidR="00725052" w:rsidRPr="00455A3C" w:rsidRDefault="00725052" w:rsidP="00725052">
      <w:pPr>
        <w:spacing w:before="0" w:line="240" w:lineRule="atLeast"/>
        <w:rPr>
          <w:b/>
          <w:bCs/>
        </w:rPr>
      </w:pPr>
      <w:r w:rsidRPr="00455A3C">
        <w:rPr>
          <w:b/>
          <w:bCs/>
        </w:rPr>
        <w:t>Crest Communications, a.s.</w:t>
      </w:r>
    </w:p>
    <w:p w14:paraId="5F3D0DB1" w14:textId="77777777" w:rsidR="00725052" w:rsidRPr="00455A3C" w:rsidRDefault="00725052" w:rsidP="00725052">
      <w:pPr>
        <w:spacing w:before="0" w:line="240" w:lineRule="atLeast"/>
      </w:pPr>
    </w:p>
    <w:p w14:paraId="44431F36" w14:textId="77777777" w:rsidR="00725052" w:rsidRPr="00455A3C" w:rsidRDefault="00725052" w:rsidP="00725052">
      <w:pPr>
        <w:spacing w:before="0" w:line="240" w:lineRule="atLeast"/>
      </w:pPr>
      <w:r w:rsidRPr="00455A3C">
        <w:t>Ostrovní 126/30</w:t>
      </w:r>
    </w:p>
    <w:p w14:paraId="5E112146" w14:textId="7777777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proofErr w:type="spellStart"/>
      <w:r>
        <w:t>gsm</w:t>
      </w:r>
      <w:proofErr w:type="spellEnd"/>
      <w:r>
        <w:t>: + 420 720 406 659</w:t>
      </w:r>
    </w:p>
    <w:p w14:paraId="0AF239BB" w14:textId="77777777" w:rsidR="00725052" w:rsidRPr="00455A3C" w:rsidRDefault="007541CE" w:rsidP="00725052">
      <w:pPr>
        <w:spacing w:before="0" w:line="240" w:lineRule="atLeast"/>
      </w:pPr>
      <w:hyperlink w:tooltip="blocked::http://www.crestcom.cz&#10;http://www.crestcom.cz/" w:history="1">
        <w:r w:rsidR="00725052" w:rsidRPr="00455A3C">
          <w:rPr>
            <w:rStyle w:val="Hypertextovodkaz"/>
            <w:color w:val="990033"/>
          </w:rPr>
          <w:t>www.crestcom.cz</w:t>
        </w:r>
      </w:hyperlink>
    </w:p>
    <w:p w14:paraId="5742EE82" w14:textId="5F4352F5" w:rsidR="00D404D5" w:rsidRDefault="00725052" w:rsidP="00480E25">
      <w:pPr>
        <w:spacing w:before="0" w:line="240" w:lineRule="atLeast"/>
        <w:rPr>
          <w:rStyle w:val="Hypertextovodkaz"/>
        </w:rPr>
      </w:pPr>
      <w:r w:rsidRPr="00455A3C">
        <w:rPr>
          <w:color w:val="000000"/>
        </w:rPr>
        <w:t xml:space="preserve">e-mail: </w:t>
      </w:r>
      <w:hyperlink r:id="rId9" w:history="1">
        <w:r w:rsidRPr="00E23FD4">
          <w:rPr>
            <w:rStyle w:val="Hypertextovodkaz"/>
          </w:rPr>
          <w:t>eliska.krohova@crestcom.cz</w:t>
        </w:r>
      </w:hyperlink>
    </w:p>
    <w:p w14:paraId="0812FE31" w14:textId="77777777" w:rsidR="00480E25" w:rsidRPr="00480E25" w:rsidRDefault="00480E25" w:rsidP="00480E25">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w:t>
      </w:r>
      <w:r w:rsidRPr="00D404D5">
        <w:rPr>
          <w:color w:val="000000"/>
          <w:lang w:eastAsia="en-US"/>
        </w:rPr>
        <w:lastRenderedPageBreak/>
        <w:t>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B71956F" w14:textId="43ADAE50" w:rsidR="00172511" w:rsidRPr="00F0467A" w:rsidRDefault="00F0467A" w:rsidP="00172511">
      <w:pPr>
        <w:rPr>
          <w:b/>
          <w:bCs/>
        </w:rPr>
      </w:pPr>
      <w:r w:rsidRPr="00F0467A">
        <w:rPr>
          <w:b/>
          <w:bCs/>
        </w:rPr>
        <w:t>Důležité upozornění</w:t>
      </w:r>
    </w:p>
    <w:p w14:paraId="64A74811" w14:textId="77777777" w:rsidR="00F0467A" w:rsidRPr="00F0467A" w:rsidRDefault="00F0467A" w:rsidP="00F0467A">
      <w:r w:rsidRPr="00F0467A">
        <w:t>Tento dokument nesmí být bez předchozího souhlasu rozmnožován nebo rozšiřován.</w:t>
      </w:r>
    </w:p>
    <w:p w14:paraId="00849390" w14:textId="77777777" w:rsidR="00F0467A" w:rsidRPr="00F0467A" w:rsidRDefault="00F0467A" w:rsidP="00F0467A">
      <w:proofErr w:type="spellStart"/>
      <w:r w:rsidRPr="00F0467A">
        <w:t>Fidelity</w:t>
      </w:r>
      <w:proofErr w:type="spellEnd"/>
      <w:r w:rsidRPr="00F0467A">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791DB78D" w14:textId="77777777" w:rsidR="00F0467A" w:rsidRPr="00F0467A" w:rsidRDefault="00F0467A" w:rsidP="00F0467A">
      <w:r w:rsidRPr="00F0467A">
        <w:t xml:space="preserve">Jako </w:t>
      </w:r>
      <w:proofErr w:type="spellStart"/>
      <w:r w:rsidRPr="00F0467A">
        <w:t>Fidelity</w:t>
      </w:r>
      <w:proofErr w:type="spellEnd"/>
      <w:r w:rsidRPr="00F0467A">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04179DEE" w14:textId="77777777" w:rsidR="00F0467A" w:rsidRPr="00F0467A" w:rsidRDefault="00F0467A" w:rsidP="00F0467A">
      <w:r w:rsidRPr="00F0467A">
        <w:t xml:space="preserve">Všechny názory představují stanoviska společnosti </w:t>
      </w:r>
      <w:proofErr w:type="spellStart"/>
      <w:r w:rsidRPr="00F0467A">
        <w:t>Fidelity</w:t>
      </w:r>
      <w:proofErr w:type="spellEnd"/>
      <w:r w:rsidRPr="00F0467A">
        <w:t xml:space="preserve">, není-li uvedeno jinak. </w:t>
      </w:r>
      <w:proofErr w:type="spellStart"/>
      <w:r w:rsidRPr="00F0467A">
        <w:t>Fidelity</w:t>
      </w:r>
      <w:proofErr w:type="spellEnd"/>
      <w:r w:rsidRPr="00F0467A">
        <w:t xml:space="preserve">, </w:t>
      </w:r>
      <w:proofErr w:type="spellStart"/>
      <w:r w:rsidRPr="00F0467A">
        <w:t>Fidelity</w:t>
      </w:r>
      <w:proofErr w:type="spellEnd"/>
      <w:r w:rsidRPr="00F0467A">
        <w:t xml:space="preserve"> International a logo </w:t>
      </w:r>
      <w:proofErr w:type="spellStart"/>
      <w:r w:rsidRPr="00F0467A">
        <w:t>Fidelity</w:t>
      </w:r>
      <w:proofErr w:type="spellEnd"/>
      <w:r w:rsidRPr="00F0467A">
        <w:t xml:space="preserve"> International a symbol měny F jsou všechno ochrannými známkami společnosti FIL Limited.</w:t>
      </w:r>
    </w:p>
    <w:p w14:paraId="19125C4D" w14:textId="77777777" w:rsidR="00F0467A" w:rsidRDefault="00F0467A" w:rsidP="00F0467A">
      <w:r w:rsidRPr="00F0467A">
        <w:t xml:space="preserve">Údaje nejsou auditované. Odborníci provádějící průzkum zahrnují společníky a analytiky. Jakákoli prohlášení či vyjádření učiněná v tomto dokumentu nejsou pro společnost </w:t>
      </w:r>
      <w:proofErr w:type="spellStart"/>
      <w:r w:rsidRPr="00F0467A">
        <w:t>Fidelity</w:t>
      </w:r>
      <w:proofErr w:type="spellEnd"/>
      <w:r w:rsidRPr="00F0467A">
        <w:t xml:space="preserve"> nebo příjemce právně závazná. Jakýkoli 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rsidRPr="00F0467A">
        <w:t>distributořů</w:t>
      </w:r>
      <w:proofErr w:type="spellEnd"/>
      <w:r w:rsidRPr="00F0467A">
        <w:t xml:space="preserve"> a našeho evropského Centra služeb v Lucembursku, sídlící na adrese FIL (</w:t>
      </w:r>
      <w:proofErr w:type="spellStart"/>
      <w:r w:rsidRPr="00F0467A">
        <w:t>Luxembourg</w:t>
      </w:r>
      <w:proofErr w:type="spellEnd"/>
      <w:r w:rsidRPr="00F0467A">
        <w:t xml:space="preserve">) S.A. </w:t>
      </w:r>
      <w:proofErr w:type="gramStart"/>
      <w:r w:rsidRPr="00F0467A">
        <w:t>2a</w:t>
      </w:r>
      <w:proofErr w:type="gramEnd"/>
      <w:r w:rsidRPr="00F0467A">
        <w:t xml:space="preserve">, </w:t>
      </w:r>
      <w:proofErr w:type="spellStart"/>
      <w:r w:rsidRPr="00F0467A">
        <w:t>rue</w:t>
      </w:r>
      <w:proofErr w:type="spellEnd"/>
      <w:r w:rsidRPr="00F0467A">
        <w:t xml:space="preserve"> Albert </w:t>
      </w:r>
      <w:proofErr w:type="spellStart"/>
      <w:r w:rsidRPr="00F0467A">
        <w:t>Borschette</w:t>
      </w:r>
      <w:proofErr w:type="spellEnd"/>
      <w:r w:rsidRPr="00F0467A">
        <w:t xml:space="preserve"> BP 2174 L-1021 </w:t>
      </w:r>
      <w:proofErr w:type="spellStart"/>
      <w:r w:rsidRPr="00F0467A">
        <w:t>Luxembourg</w:t>
      </w:r>
      <w:proofErr w:type="spellEnd"/>
      <w:r w:rsidRPr="00F0467A">
        <w:t>.</w:t>
      </w:r>
    </w:p>
    <w:p w14:paraId="2FCCB249" w14:textId="17861614" w:rsidR="008E1EFC" w:rsidRPr="008E1EFC" w:rsidRDefault="008E1EFC" w:rsidP="008E1EFC">
      <w:pPr>
        <w:rPr>
          <w:rFonts w:ascii="Calibri" w:hAnsi="Calibri" w:cs="Calibri"/>
        </w:rPr>
      </w:pPr>
      <w:r>
        <w:t xml:space="preserve">Odkazy na konkrétní cenné papíry v tomto dokumentu by neměly být vykládány jako doporučení k nákupu nebo prodeji těchto cenných papírů, ale jsou uvedeny pouze pro ilustraci. Investoři by také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jako </w:t>
      </w:r>
      <w:r>
        <w:lastRenderedPageBreak/>
        <w:t xml:space="preserve">správce investic a je možné, že podle nich již bylo postupováno pro její vlastní účely. Tento materiál byl vytvořen společností </w:t>
      </w:r>
      <w:proofErr w:type="spellStart"/>
      <w:r>
        <w:t>Fidelity</w:t>
      </w:r>
      <w:proofErr w:type="spellEnd"/>
      <w:r>
        <w:t xml:space="preserve"> International.</w:t>
      </w:r>
    </w:p>
    <w:p w14:paraId="6D47D2D6" w14:textId="77777777" w:rsidR="00F0467A" w:rsidRPr="00F0467A" w:rsidRDefault="00F0467A" w:rsidP="00F0467A">
      <w:proofErr w:type="spellStart"/>
      <w:r w:rsidRPr="00F0467A">
        <w:t>Fidelity</w:t>
      </w:r>
      <w:proofErr w:type="spellEnd"/>
      <w:r w:rsidRPr="00F0467A">
        <w:t xml:space="preserve"> </w:t>
      </w:r>
      <w:proofErr w:type="spellStart"/>
      <w:r w:rsidRPr="00F0467A">
        <w:t>Funds</w:t>
      </w:r>
      <w:proofErr w:type="spellEnd"/>
      <w:r w:rsidRPr="00F0467A">
        <w:t xml:space="preserve"> "FF" je otevřená investiční společnost (SKIPCP) sídlící v Lucembursku, která disponuje akciemi různých tříd. Společnost FIL </w:t>
      </w:r>
      <w:proofErr w:type="spellStart"/>
      <w:r w:rsidRPr="00F0467A">
        <w:t>Investment</w:t>
      </w:r>
      <w:proofErr w:type="spellEnd"/>
      <w:r w:rsidRPr="00F0467A">
        <w:t xml:space="preserve"> Management (</w:t>
      </w:r>
      <w:proofErr w:type="spellStart"/>
      <w:r w:rsidRPr="00F0467A">
        <w:t>Luxembourg</w:t>
      </w:r>
      <w:proofErr w:type="spellEnd"/>
      <w:r w:rsidRPr="00F0467A">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rsidRPr="00F0467A">
        <w:t>Lucembursku.Vydala</w:t>
      </w:r>
      <w:proofErr w:type="spellEnd"/>
      <w:r w:rsidRPr="00F0467A">
        <w:t xml:space="preserve"> společnost FIL (</w:t>
      </w:r>
      <w:proofErr w:type="spellStart"/>
      <w:r w:rsidRPr="00F0467A">
        <w:t>Luxembourg</w:t>
      </w:r>
      <w:proofErr w:type="spellEnd"/>
      <w:r w:rsidRPr="00F0467A">
        <w:t>) S.A., které bylo uděleno povolení a podléhá dohledu dozorčí komise CSSF (</w:t>
      </w:r>
      <w:proofErr w:type="spellStart"/>
      <w:r w:rsidRPr="00F0467A">
        <w:t>Commission</w:t>
      </w:r>
      <w:proofErr w:type="spellEnd"/>
      <w:r w:rsidRPr="00F0467A">
        <w:t xml:space="preserve"> de </w:t>
      </w:r>
      <w:proofErr w:type="spellStart"/>
      <w:r w:rsidRPr="00F0467A">
        <w:t>Surveillance</w:t>
      </w:r>
      <w:proofErr w:type="spellEnd"/>
      <w:r w:rsidRPr="00F0467A">
        <w:t xml:space="preserve"> </w:t>
      </w:r>
      <w:proofErr w:type="spellStart"/>
      <w:r w:rsidRPr="00F0467A">
        <w:t>du</w:t>
      </w:r>
      <w:proofErr w:type="spellEnd"/>
      <w:r w:rsidRPr="00F0467A">
        <w:t xml:space="preserve"> </w:t>
      </w:r>
      <w:proofErr w:type="spellStart"/>
      <w:r w:rsidRPr="00F0467A">
        <w:t>Secteur</w:t>
      </w:r>
      <w:proofErr w:type="spellEnd"/>
      <w:r w:rsidRPr="00F0467A">
        <w:t xml:space="preserve"> </w:t>
      </w:r>
      <w:proofErr w:type="spellStart"/>
      <w:r w:rsidRPr="00F0467A">
        <w:t>Financier</w:t>
      </w:r>
      <w:proofErr w:type="spellEnd"/>
      <w:r w:rsidRPr="00F0467A">
        <w:t>).</w:t>
      </w:r>
    </w:p>
    <w:p w14:paraId="4D2B76A7" w14:textId="36500D06" w:rsidR="000923E4" w:rsidRPr="000923E4" w:rsidRDefault="00F0467A" w:rsidP="00BB07FC">
      <w:r w:rsidRPr="00F0467A">
        <w:t>Investoři a potenciální investoři mohou získat informace o svých právech ve spojení se stížnostmi a soudními spory na tomto odkazu: https://www.fidelity.cz (v češtině).</w:t>
      </w:r>
    </w:p>
    <w:p w14:paraId="0B328B2B" w14:textId="77777777" w:rsidR="00BB07FC" w:rsidRPr="00F233B9" w:rsidRDefault="00BB07FC" w:rsidP="00BB07FC">
      <w:r>
        <w:t>MKAT10560</w:t>
      </w:r>
    </w:p>
    <w:p w14:paraId="131D4607" w14:textId="3A185450" w:rsidR="00A7414F" w:rsidRPr="000923E4" w:rsidRDefault="00A7414F" w:rsidP="00172511">
      <w:pPr>
        <w:pStyle w:val="FIL3Body"/>
        <w:jc w:val="both"/>
        <w:rPr>
          <w:rFonts w:cs="Arial"/>
          <w:color w:val="auto"/>
          <w:sz w:val="20"/>
          <w:szCs w:val="20"/>
          <w:lang w:val="cs-CZ" w:eastAsia="cs-CZ"/>
        </w:rPr>
      </w:pPr>
    </w:p>
    <w:sectPr w:rsidR="00A7414F" w:rsidRPr="000923E4"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EA84" w14:textId="77777777" w:rsidR="007541CE" w:rsidRDefault="007541CE">
      <w:r>
        <w:separator/>
      </w:r>
    </w:p>
  </w:endnote>
  <w:endnote w:type="continuationSeparator" w:id="0">
    <w:p w14:paraId="7D8DBD45" w14:textId="77777777" w:rsidR="007541CE" w:rsidRDefault="0075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7944" w14:textId="77777777" w:rsidR="007541CE" w:rsidRDefault="007541CE">
      <w:r>
        <w:separator/>
      </w:r>
    </w:p>
  </w:footnote>
  <w:footnote w:type="continuationSeparator" w:id="0">
    <w:p w14:paraId="1D318662" w14:textId="77777777" w:rsidR="007541CE" w:rsidRDefault="007541CE">
      <w:r>
        <w:continuationSeparator/>
      </w:r>
    </w:p>
  </w:footnote>
  <w:footnote w:type="continuationNotice" w:id="1">
    <w:p w14:paraId="7B0C17DB" w14:textId="77777777" w:rsidR="007541CE" w:rsidRDefault="00754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83B6AF1"/>
    <w:multiLevelType w:val="hybridMultilevel"/>
    <w:tmpl w:val="2334CEEE"/>
    <w:lvl w:ilvl="0" w:tplc="CC4E7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40"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2"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08166943">
    <w:abstractNumId w:val="28"/>
  </w:num>
  <w:num w:numId="2" w16cid:durableId="2146852915">
    <w:abstractNumId w:val="16"/>
  </w:num>
  <w:num w:numId="3" w16cid:durableId="1813332835">
    <w:abstractNumId w:val="41"/>
  </w:num>
  <w:num w:numId="4" w16cid:durableId="663513392">
    <w:abstractNumId w:val="45"/>
  </w:num>
  <w:num w:numId="5" w16cid:durableId="271087904">
    <w:abstractNumId w:val="24"/>
  </w:num>
  <w:num w:numId="6" w16cid:durableId="654525848">
    <w:abstractNumId w:val="26"/>
  </w:num>
  <w:num w:numId="7" w16cid:durableId="1988627510">
    <w:abstractNumId w:val="20"/>
  </w:num>
  <w:num w:numId="8" w16cid:durableId="1172337948">
    <w:abstractNumId w:val="44"/>
  </w:num>
  <w:num w:numId="9" w16cid:durableId="445779219">
    <w:abstractNumId w:val="33"/>
  </w:num>
  <w:num w:numId="10" w16cid:durableId="1717898179">
    <w:abstractNumId w:val="8"/>
  </w:num>
  <w:num w:numId="11" w16cid:durableId="1311981054">
    <w:abstractNumId w:val="3"/>
  </w:num>
  <w:num w:numId="12" w16cid:durableId="1155147449">
    <w:abstractNumId w:val="2"/>
  </w:num>
  <w:num w:numId="13" w16cid:durableId="1308239978">
    <w:abstractNumId w:val="1"/>
  </w:num>
  <w:num w:numId="14" w16cid:durableId="456148473">
    <w:abstractNumId w:val="0"/>
  </w:num>
  <w:num w:numId="15" w16cid:durableId="1225722501">
    <w:abstractNumId w:val="10"/>
  </w:num>
  <w:num w:numId="16" w16cid:durableId="23603373">
    <w:abstractNumId w:val="9"/>
  </w:num>
  <w:num w:numId="17" w16cid:durableId="1797333968">
    <w:abstractNumId w:val="7"/>
  </w:num>
  <w:num w:numId="18" w16cid:durableId="261762124">
    <w:abstractNumId w:val="6"/>
  </w:num>
  <w:num w:numId="19" w16cid:durableId="1169099744">
    <w:abstractNumId w:val="5"/>
  </w:num>
  <w:num w:numId="20" w16cid:durableId="1877232583">
    <w:abstractNumId w:val="4"/>
  </w:num>
  <w:num w:numId="21" w16cid:durableId="1088383242">
    <w:abstractNumId w:val="43"/>
  </w:num>
  <w:num w:numId="22" w16cid:durableId="459610663">
    <w:abstractNumId w:val="40"/>
  </w:num>
  <w:num w:numId="23" w16cid:durableId="126708451">
    <w:abstractNumId w:val="15"/>
  </w:num>
  <w:num w:numId="24" w16cid:durableId="556547184">
    <w:abstractNumId w:val="23"/>
  </w:num>
  <w:num w:numId="25" w16cid:durableId="766537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035213">
    <w:abstractNumId w:val="39"/>
  </w:num>
  <w:num w:numId="27" w16cid:durableId="237637327">
    <w:abstractNumId w:val="42"/>
  </w:num>
  <w:num w:numId="28" w16cid:durableId="104228056">
    <w:abstractNumId w:val="32"/>
  </w:num>
  <w:num w:numId="29" w16cid:durableId="690412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6660964">
    <w:abstractNumId w:val="36"/>
  </w:num>
  <w:num w:numId="31" w16cid:durableId="1366441798">
    <w:abstractNumId w:val="19"/>
  </w:num>
  <w:num w:numId="32" w16cid:durableId="6950502">
    <w:abstractNumId w:val="13"/>
  </w:num>
  <w:num w:numId="33" w16cid:durableId="1270550774">
    <w:abstractNumId w:val="34"/>
  </w:num>
  <w:num w:numId="34" w16cid:durableId="1407875628">
    <w:abstractNumId w:val="12"/>
  </w:num>
  <w:num w:numId="35" w16cid:durableId="1961260072">
    <w:abstractNumId w:val="38"/>
  </w:num>
  <w:num w:numId="36" w16cid:durableId="268051563">
    <w:abstractNumId w:val="11"/>
  </w:num>
  <w:num w:numId="37" w16cid:durableId="855004821">
    <w:abstractNumId w:val="35"/>
  </w:num>
  <w:num w:numId="38" w16cid:durableId="1056734555">
    <w:abstractNumId w:val="22"/>
  </w:num>
  <w:num w:numId="39" w16cid:durableId="1522427104">
    <w:abstractNumId w:val="29"/>
  </w:num>
  <w:num w:numId="40" w16cid:durableId="2066641927">
    <w:abstractNumId w:val="18"/>
  </w:num>
  <w:num w:numId="41" w16cid:durableId="1102840056">
    <w:abstractNumId w:val="37"/>
  </w:num>
  <w:num w:numId="42" w16cid:durableId="1912041335">
    <w:abstractNumId w:val="17"/>
  </w:num>
  <w:num w:numId="43" w16cid:durableId="2055735877">
    <w:abstractNumId w:val="25"/>
  </w:num>
  <w:num w:numId="44" w16cid:durableId="1211380076">
    <w:abstractNumId w:val="27"/>
  </w:num>
  <w:num w:numId="45" w16cid:durableId="470447234">
    <w:abstractNumId w:val="30"/>
  </w:num>
  <w:num w:numId="46" w16cid:durableId="850610205">
    <w:abstractNumId w:val="14"/>
  </w:num>
  <w:num w:numId="47" w16cid:durableId="1629895735">
    <w:abstractNumId w:val="21"/>
  </w:num>
  <w:num w:numId="48" w16cid:durableId="1244030638">
    <w:abstractNumId w:val="46"/>
  </w:num>
  <w:num w:numId="49" w16cid:durableId="104289965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7DF"/>
    <w:rsid w:val="00076A25"/>
    <w:rsid w:val="00080750"/>
    <w:rsid w:val="00081DCE"/>
    <w:rsid w:val="00084075"/>
    <w:rsid w:val="00092137"/>
    <w:rsid w:val="000923E4"/>
    <w:rsid w:val="00093C6A"/>
    <w:rsid w:val="00093E98"/>
    <w:rsid w:val="000940D0"/>
    <w:rsid w:val="000A2833"/>
    <w:rsid w:val="000A2D6F"/>
    <w:rsid w:val="000A3FFF"/>
    <w:rsid w:val="000A5FDF"/>
    <w:rsid w:val="000A755E"/>
    <w:rsid w:val="000B0FBB"/>
    <w:rsid w:val="000B2426"/>
    <w:rsid w:val="000B57A2"/>
    <w:rsid w:val="000C0E0E"/>
    <w:rsid w:val="000C17C8"/>
    <w:rsid w:val="000C4D6D"/>
    <w:rsid w:val="000C5471"/>
    <w:rsid w:val="000C727D"/>
    <w:rsid w:val="000C772F"/>
    <w:rsid w:val="000D25CC"/>
    <w:rsid w:val="000D3C66"/>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1676"/>
    <w:rsid w:val="00292C1D"/>
    <w:rsid w:val="00293679"/>
    <w:rsid w:val="00296721"/>
    <w:rsid w:val="00296E4C"/>
    <w:rsid w:val="00297E46"/>
    <w:rsid w:val="002A0553"/>
    <w:rsid w:val="002A4D2E"/>
    <w:rsid w:val="002B0AFD"/>
    <w:rsid w:val="002B0B15"/>
    <w:rsid w:val="002B2991"/>
    <w:rsid w:val="002B5926"/>
    <w:rsid w:val="002B6FCD"/>
    <w:rsid w:val="002B72A2"/>
    <w:rsid w:val="002B7380"/>
    <w:rsid w:val="002C50AC"/>
    <w:rsid w:val="002C6682"/>
    <w:rsid w:val="002D0CC4"/>
    <w:rsid w:val="002D0CD4"/>
    <w:rsid w:val="002D7CBC"/>
    <w:rsid w:val="002E497E"/>
    <w:rsid w:val="002F0500"/>
    <w:rsid w:val="002F1160"/>
    <w:rsid w:val="00301881"/>
    <w:rsid w:val="00303102"/>
    <w:rsid w:val="00307E7E"/>
    <w:rsid w:val="00310E2F"/>
    <w:rsid w:val="003177AF"/>
    <w:rsid w:val="00320015"/>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045"/>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6B7E"/>
    <w:rsid w:val="003C1594"/>
    <w:rsid w:val="003C19B7"/>
    <w:rsid w:val="003C4059"/>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400B6B"/>
    <w:rsid w:val="00402409"/>
    <w:rsid w:val="00404DB5"/>
    <w:rsid w:val="00405D0D"/>
    <w:rsid w:val="004113D5"/>
    <w:rsid w:val="004125BB"/>
    <w:rsid w:val="0041337E"/>
    <w:rsid w:val="004177E3"/>
    <w:rsid w:val="004202CB"/>
    <w:rsid w:val="00420D53"/>
    <w:rsid w:val="004238B6"/>
    <w:rsid w:val="00425B35"/>
    <w:rsid w:val="00427801"/>
    <w:rsid w:val="0043115E"/>
    <w:rsid w:val="00431E52"/>
    <w:rsid w:val="00433AB4"/>
    <w:rsid w:val="0043546F"/>
    <w:rsid w:val="004428A1"/>
    <w:rsid w:val="00445D92"/>
    <w:rsid w:val="0045291A"/>
    <w:rsid w:val="00452BD8"/>
    <w:rsid w:val="004544F8"/>
    <w:rsid w:val="00454D44"/>
    <w:rsid w:val="00455259"/>
    <w:rsid w:val="00455A3C"/>
    <w:rsid w:val="0046155B"/>
    <w:rsid w:val="00463E8F"/>
    <w:rsid w:val="00464475"/>
    <w:rsid w:val="00466116"/>
    <w:rsid w:val="004705A5"/>
    <w:rsid w:val="004715F4"/>
    <w:rsid w:val="0047275D"/>
    <w:rsid w:val="00475575"/>
    <w:rsid w:val="00480C04"/>
    <w:rsid w:val="00480E25"/>
    <w:rsid w:val="004863EC"/>
    <w:rsid w:val="00487542"/>
    <w:rsid w:val="0049074E"/>
    <w:rsid w:val="004907F4"/>
    <w:rsid w:val="00493172"/>
    <w:rsid w:val="004955BB"/>
    <w:rsid w:val="004A0EA9"/>
    <w:rsid w:val="004A3C5B"/>
    <w:rsid w:val="004A461C"/>
    <w:rsid w:val="004A52B6"/>
    <w:rsid w:val="004B29BE"/>
    <w:rsid w:val="004B366C"/>
    <w:rsid w:val="004B3A45"/>
    <w:rsid w:val="004B4063"/>
    <w:rsid w:val="004B4F7D"/>
    <w:rsid w:val="004B4F84"/>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20AF"/>
    <w:rsid w:val="0057387E"/>
    <w:rsid w:val="005847DC"/>
    <w:rsid w:val="005856EF"/>
    <w:rsid w:val="00585CC6"/>
    <w:rsid w:val="00591893"/>
    <w:rsid w:val="00592351"/>
    <w:rsid w:val="00594C42"/>
    <w:rsid w:val="00596841"/>
    <w:rsid w:val="005A0345"/>
    <w:rsid w:val="005A0903"/>
    <w:rsid w:val="005A2203"/>
    <w:rsid w:val="005A25B7"/>
    <w:rsid w:val="005A33F3"/>
    <w:rsid w:val="005A3C0F"/>
    <w:rsid w:val="005A3EC1"/>
    <w:rsid w:val="005B1B79"/>
    <w:rsid w:val="005B2F2A"/>
    <w:rsid w:val="005B6F85"/>
    <w:rsid w:val="005C00A9"/>
    <w:rsid w:val="005C4078"/>
    <w:rsid w:val="005C74D1"/>
    <w:rsid w:val="005C7C7C"/>
    <w:rsid w:val="005D0735"/>
    <w:rsid w:val="005D37B5"/>
    <w:rsid w:val="005D3B85"/>
    <w:rsid w:val="005D49F1"/>
    <w:rsid w:val="005D5B6F"/>
    <w:rsid w:val="005D72C2"/>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A04AE"/>
    <w:rsid w:val="006A0E52"/>
    <w:rsid w:val="006A25B4"/>
    <w:rsid w:val="006A4A62"/>
    <w:rsid w:val="006A7552"/>
    <w:rsid w:val="006B01B9"/>
    <w:rsid w:val="006B0439"/>
    <w:rsid w:val="006B0D10"/>
    <w:rsid w:val="006B0EC2"/>
    <w:rsid w:val="006B13D4"/>
    <w:rsid w:val="006B5383"/>
    <w:rsid w:val="006B6A37"/>
    <w:rsid w:val="006D7B5A"/>
    <w:rsid w:val="006E1E9E"/>
    <w:rsid w:val="006E4279"/>
    <w:rsid w:val="006E4913"/>
    <w:rsid w:val="006E5555"/>
    <w:rsid w:val="006F15CC"/>
    <w:rsid w:val="006F1CCA"/>
    <w:rsid w:val="006F640B"/>
    <w:rsid w:val="0070043C"/>
    <w:rsid w:val="007046FB"/>
    <w:rsid w:val="00705A61"/>
    <w:rsid w:val="00710424"/>
    <w:rsid w:val="007109F6"/>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5577"/>
    <w:rsid w:val="00756B91"/>
    <w:rsid w:val="0076741B"/>
    <w:rsid w:val="00771D19"/>
    <w:rsid w:val="00774584"/>
    <w:rsid w:val="007747BE"/>
    <w:rsid w:val="00781625"/>
    <w:rsid w:val="00781792"/>
    <w:rsid w:val="00782512"/>
    <w:rsid w:val="00785A6D"/>
    <w:rsid w:val="00786B68"/>
    <w:rsid w:val="00792CC3"/>
    <w:rsid w:val="007947C6"/>
    <w:rsid w:val="00794CF3"/>
    <w:rsid w:val="00794E4C"/>
    <w:rsid w:val="0079614E"/>
    <w:rsid w:val="007A0160"/>
    <w:rsid w:val="007A40C6"/>
    <w:rsid w:val="007A4F20"/>
    <w:rsid w:val="007A6AA0"/>
    <w:rsid w:val="007A6B19"/>
    <w:rsid w:val="007B3045"/>
    <w:rsid w:val="007B49DF"/>
    <w:rsid w:val="007B5296"/>
    <w:rsid w:val="007B655B"/>
    <w:rsid w:val="007B67AD"/>
    <w:rsid w:val="007B7639"/>
    <w:rsid w:val="007C00BA"/>
    <w:rsid w:val="007C18F2"/>
    <w:rsid w:val="007C1AC1"/>
    <w:rsid w:val="007C1FEC"/>
    <w:rsid w:val="007C46D1"/>
    <w:rsid w:val="007C5731"/>
    <w:rsid w:val="007C7393"/>
    <w:rsid w:val="007D391B"/>
    <w:rsid w:val="007D6974"/>
    <w:rsid w:val="007D7780"/>
    <w:rsid w:val="007E0A4B"/>
    <w:rsid w:val="007E326A"/>
    <w:rsid w:val="007F1637"/>
    <w:rsid w:val="007F1B11"/>
    <w:rsid w:val="007F4ABD"/>
    <w:rsid w:val="007F7212"/>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4A50"/>
    <w:rsid w:val="00865C11"/>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1EF2"/>
    <w:rsid w:val="008C3B68"/>
    <w:rsid w:val="008C5253"/>
    <w:rsid w:val="008C5686"/>
    <w:rsid w:val="008C6BFB"/>
    <w:rsid w:val="008C7321"/>
    <w:rsid w:val="008C74DA"/>
    <w:rsid w:val="008C7C59"/>
    <w:rsid w:val="008D094A"/>
    <w:rsid w:val="008D1E99"/>
    <w:rsid w:val="008D6465"/>
    <w:rsid w:val="008E150C"/>
    <w:rsid w:val="008E1EF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5B43"/>
    <w:rsid w:val="009364E2"/>
    <w:rsid w:val="00937BFF"/>
    <w:rsid w:val="009410FA"/>
    <w:rsid w:val="00946916"/>
    <w:rsid w:val="00950C28"/>
    <w:rsid w:val="00951993"/>
    <w:rsid w:val="00953E57"/>
    <w:rsid w:val="00955C25"/>
    <w:rsid w:val="00956BB5"/>
    <w:rsid w:val="00957676"/>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28E1"/>
    <w:rsid w:val="009C2E55"/>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B1635"/>
    <w:rsid w:val="00AB297D"/>
    <w:rsid w:val="00AC031E"/>
    <w:rsid w:val="00AC31F2"/>
    <w:rsid w:val="00AC35C4"/>
    <w:rsid w:val="00AC4154"/>
    <w:rsid w:val="00AD18B4"/>
    <w:rsid w:val="00AD7F13"/>
    <w:rsid w:val="00AE117D"/>
    <w:rsid w:val="00AE1843"/>
    <w:rsid w:val="00AE23F9"/>
    <w:rsid w:val="00AE2430"/>
    <w:rsid w:val="00AE4000"/>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7E1E"/>
    <w:rsid w:val="00B21C56"/>
    <w:rsid w:val="00B24AE7"/>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75AC6"/>
    <w:rsid w:val="00B81F91"/>
    <w:rsid w:val="00B839BA"/>
    <w:rsid w:val="00B86C35"/>
    <w:rsid w:val="00B86DD8"/>
    <w:rsid w:val="00B92703"/>
    <w:rsid w:val="00B93072"/>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7D23"/>
    <w:rsid w:val="00C32874"/>
    <w:rsid w:val="00C37286"/>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72AF"/>
    <w:rsid w:val="00CB7359"/>
    <w:rsid w:val="00CC0133"/>
    <w:rsid w:val="00CC18C3"/>
    <w:rsid w:val="00CC4530"/>
    <w:rsid w:val="00CC56BB"/>
    <w:rsid w:val="00CC6CA7"/>
    <w:rsid w:val="00CD18B1"/>
    <w:rsid w:val="00CD1D5F"/>
    <w:rsid w:val="00CD28D1"/>
    <w:rsid w:val="00CD30D0"/>
    <w:rsid w:val="00CE124A"/>
    <w:rsid w:val="00CE2A97"/>
    <w:rsid w:val="00CE45DD"/>
    <w:rsid w:val="00CE4D2A"/>
    <w:rsid w:val="00CF0155"/>
    <w:rsid w:val="00CF2C23"/>
    <w:rsid w:val="00CF2EC3"/>
    <w:rsid w:val="00CF3927"/>
    <w:rsid w:val="00CF44B0"/>
    <w:rsid w:val="00CF4C62"/>
    <w:rsid w:val="00CF79CE"/>
    <w:rsid w:val="00D0502F"/>
    <w:rsid w:val="00D10B90"/>
    <w:rsid w:val="00D113F1"/>
    <w:rsid w:val="00D12387"/>
    <w:rsid w:val="00D13663"/>
    <w:rsid w:val="00D149A1"/>
    <w:rsid w:val="00D17B15"/>
    <w:rsid w:val="00D20884"/>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A6B7D"/>
    <w:rsid w:val="00DB02C0"/>
    <w:rsid w:val="00DB0357"/>
    <w:rsid w:val="00DB2227"/>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6ECC"/>
    <w:rsid w:val="00E57FEE"/>
    <w:rsid w:val="00E629C3"/>
    <w:rsid w:val="00E715FD"/>
    <w:rsid w:val="00E71601"/>
    <w:rsid w:val="00E71F11"/>
    <w:rsid w:val="00E736B3"/>
    <w:rsid w:val="00E73C8D"/>
    <w:rsid w:val="00E758D8"/>
    <w:rsid w:val="00E7795C"/>
    <w:rsid w:val="00E83C37"/>
    <w:rsid w:val="00E87B8E"/>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584C"/>
    <w:rsid w:val="00ED7431"/>
    <w:rsid w:val="00EE3BFD"/>
    <w:rsid w:val="00EE5A58"/>
    <w:rsid w:val="00EE77EC"/>
    <w:rsid w:val="00EF0CFD"/>
    <w:rsid w:val="00EF1BA6"/>
    <w:rsid w:val="00EF4866"/>
    <w:rsid w:val="00EF754F"/>
    <w:rsid w:val="00F004E9"/>
    <w:rsid w:val="00F0467A"/>
    <w:rsid w:val="00F0649C"/>
    <w:rsid w:val="00F20E61"/>
    <w:rsid w:val="00F2303B"/>
    <w:rsid w:val="00F238B5"/>
    <w:rsid w:val="00F257D4"/>
    <w:rsid w:val="00F25A44"/>
    <w:rsid w:val="00F26811"/>
    <w:rsid w:val="00F26C08"/>
    <w:rsid w:val="00F336CC"/>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849DF"/>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ka.kroh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1667</Words>
  <Characters>9840</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11485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12</cp:revision>
  <cp:lastPrinted>2015-11-30T16:29:00Z</cp:lastPrinted>
  <dcterms:created xsi:type="dcterms:W3CDTF">2022-05-03T09:46:00Z</dcterms:created>
  <dcterms:modified xsi:type="dcterms:W3CDTF">2022-05-03T10:23:00Z</dcterms:modified>
</cp:coreProperties>
</file>